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FE65"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A (Normativo)</w:t>
      </w:r>
    </w:p>
    <w:p w14:paraId="4CDC18B8"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Homogeneidad de la producción.</w:t>
      </w:r>
    </w:p>
    <w:p w14:paraId="32AD353E"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los esquemas de certificación de los numerales 7.10.2 a 7.10.6, el interesado debe asegurar la homogeneidad de la producción, de modo que todos los productos fabricados cumplan al igual que aquel sobre el que se realizaron las pruebas para satisfacer los requisitos generales de presente Proyecto de NOM.</w:t>
      </w:r>
    </w:p>
    <w:p w14:paraId="39E062AA"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Mediante este requisito, el fabricante deberá implantar en su cadena de producción una serie de controles que garanticen esta homogeneidad de la producción; pudiendo llegar a ser controles intermedios en la cadena de producción, al final del proceso o incluso durante la fase de compra de materias primas.</w:t>
      </w:r>
    </w:p>
    <w:p w14:paraId="7035F71C"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NOTA: La implantación de un sistema de calidad suele satisfacer las necesidades de este requisito.</w:t>
      </w:r>
    </w:p>
    <w:p w14:paraId="6155E7D4"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demostrar el cumplimiento de la homogeneidad de la producción el interesado puede presentar la documentación, descrita en alguna de las siguientes alternativas:</w:t>
      </w:r>
    </w:p>
    <w:p w14:paraId="37AB9731"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Certificado vigente del sistema de gestión de la calidad que incluya en su alcance la línea de producción o del proceso de manufactura, pudiendo ser éste de un organismo acreditado en el extranjero o país de origen, siempre que el organismo acreditador tenga un Acuerdo de Equivalencias o cuenten con un Acuerdo de Reconocimiento Mutuo o Arreglo de Reconocimiento Mutuo bilateral o multilateral con una entidad de acreditación autorizada por la Secretaría de Economía.</w:t>
      </w:r>
    </w:p>
    <w:p w14:paraId="4CD41136"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Informe de validación del sistema de Homogeneidad de la línea de producción emitido por el OCP, OCS o personal de un organismo acreditado en el extranjero o país de origen, siempre que el organismo acreditador tenga un Acuerdo de Equivalencias o cuenten con un Acuerdo de Reconocimiento Mutuo o Arreglo de Reconocimiento Mutuo bilateral o multilateral con una entidad de acreditación autorizada por la Secretaría de Economía durante la evaluación en sitio, el cual debe considerar los incisos 8.2.2. Determinación de los requisitos para los productos y servicios, 8.4 Control de los procesos, productos y servicios suministrados externamente, 8.5 Producción y provisión del servicio, 8.6 Liberación de los productos y servicios, 8.7 Control de las salidas no conformes de la norma mexicana NMX-CC-9001-IMNC-2015 o su equivalente internacional o extranjero.</w:t>
      </w:r>
    </w:p>
    <w:p w14:paraId="7EA5195C"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B</w:t>
      </w:r>
    </w:p>
    <w:p w14:paraId="1ECAC8F9"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(Normativo)</w:t>
      </w:r>
    </w:p>
    <w:p w14:paraId="648CB752"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Sistema de Rastreabilidad</w:t>
      </w:r>
    </w:p>
    <w:p w14:paraId="0561ADD8"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Aquellos interesados en certificar sus productos bajo la modalidad con verificación mediante el sistema de </w:t>
      </w:r>
      <w:proofErr w:type="gramStart"/>
      <w:r>
        <w:rPr>
          <w:rFonts w:ascii="Century Gothic" w:hAnsi="Century Gothic" w:cs="Century Gothic"/>
          <w:color w:val="000000"/>
        </w:rPr>
        <w:t>rastreabilidad,</w:t>
      </w:r>
      <w:proofErr w:type="gramEnd"/>
      <w:r>
        <w:rPr>
          <w:rFonts w:ascii="Century Gothic" w:hAnsi="Century Gothic" w:cs="Century Gothic"/>
          <w:color w:val="000000"/>
        </w:rPr>
        <w:t xml:space="preserve"> deberán obtener un informe de verificación del sistema de rastreabilidad, emitido por la autoridad competente o el OCP, que garantice que se cuenta con procesos que aseguren el control de los productos a certificar o certificados.</w:t>
      </w:r>
    </w:p>
    <w:p w14:paraId="0F56DDE9"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El interesado ingresará a la autoridad competente o al OCP la documentación que demuestre que tiene un sistema de rastreabilidad, para su revisión, así como la solicitud para la verificación del sistema de rastreabilidad de producto, la cual consiste en una visita a la empresa solicitante, previa a la certificación de producto en este esquema, en la que se valida que ésta tiene los procesos implementados y cuenta con los registros abajo listados.</w:t>
      </w:r>
    </w:p>
    <w:p w14:paraId="128BEE17"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resultado de dicha visita será válido para el resto de las solicitudes de certificación de producto que realice la empresa solicitante en esta modalidad, siempre y cuando se demuestre que los nuevos productos están contemplados dentro del sistema de rastreabilidad del producto.</w:t>
      </w:r>
    </w:p>
    <w:p w14:paraId="1D39B5E9"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procesos que deberán estar contenidos en el informe de verificación del sistema de rastreabilidad son:</w:t>
      </w:r>
    </w:p>
    <w:p w14:paraId="4A045F0C"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B.1</w:t>
      </w:r>
      <w:r>
        <w:rPr>
          <w:rFonts w:ascii="Century Gothic" w:hAnsi="Century Gothic" w:cs="Century Gothic"/>
          <w:color w:val="000000"/>
        </w:rPr>
        <w:t xml:space="preserve"> Proceso de identificación del producto.</w:t>
      </w:r>
    </w:p>
    <w:p w14:paraId="24BF1A11"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Conjunto de actividades enfocadas a rastrear el producto, de tal manera que se cuente con al menos los siguientes registros:</w:t>
      </w:r>
    </w:p>
    <w:p w14:paraId="5257B552"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w:t>
      </w:r>
      <w:r>
        <w:rPr>
          <w:rFonts w:ascii="Century Gothic" w:hAnsi="Century Gothic" w:cs="Century Gothic"/>
          <w:color w:val="000000"/>
        </w:rPr>
        <w:tab/>
        <w:t>Cualquier documento que ampare la fabricación, adquisición o transferencia del producto (lista de empaque, orden de compra, factura de compra u orden de fabricación, etc.) que incluya la siguiente información:</w:t>
      </w:r>
    </w:p>
    <w:p w14:paraId="09D3FF02"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Descripción del producto;</w:t>
      </w:r>
    </w:p>
    <w:p w14:paraId="24EA98A4"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Código, modelo o identificación del producto;</w:t>
      </w:r>
    </w:p>
    <w:p w14:paraId="56EE85CC"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Cantidad;</w:t>
      </w:r>
    </w:p>
    <w:p w14:paraId="178FC21F"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Proveedor o fabricante del producto, cuando aplique;</w:t>
      </w:r>
    </w:p>
    <w:p w14:paraId="0116DF08"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w:t>
      </w:r>
      <w:r>
        <w:rPr>
          <w:rFonts w:ascii="Century Gothic" w:hAnsi="Century Gothic" w:cs="Century Gothic"/>
          <w:color w:val="000000"/>
        </w:rPr>
        <w:tab/>
        <w:t>Certificado de la conformidad del producto, cuando aplique.</w:t>
      </w:r>
    </w:p>
    <w:p w14:paraId="6576D91F"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B.2</w:t>
      </w:r>
      <w:r>
        <w:rPr>
          <w:rFonts w:ascii="Century Gothic" w:hAnsi="Century Gothic" w:cs="Century Gothic"/>
          <w:color w:val="000000"/>
        </w:rPr>
        <w:t xml:space="preserve"> Proceso documentado del producto.</w:t>
      </w:r>
    </w:p>
    <w:p w14:paraId="1B746257"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Conjunto de actividades enfocadas a controlar de manera sistemática las especificaciones de seguridad del producto que contemple por lo menos lo siguiente:</w:t>
      </w:r>
    </w:p>
    <w:p w14:paraId="5AED6E02"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Designar personal responsable con autoridad para el desarrollo del proceso;</w:t>
      </w:r>
    </w:p>
    <w:p w14:paraId="61A22ABA"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Definición de criterios de aceptación y rechazo;</w:t>
      </w:r>
    </w:p>
    <w:p w14:paraId="254DFFE8"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Registros de control e inspección de producto;</w:t>
      </w:r>
    </w:p>
    <w:p w14:paraId="3C5F350F"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Registro y disposición de producto no-conforme.</w:t>
      </w:r>
    </w:p>
    <w:p w14:paraId="2B8348C2"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B.3</w:t>
      </w:r>
      <w:r>
        <w:rPr>
          <w:rFonts w:ascii="Century Gothic" w:hAnsi="Century Gothic" w:cs="Century Gothic"/>
          <w:color w:val="000000"/>
        </w:rPr>
        <w:t xml:space="preserve"> Proceso documentado y registros de cambios o modificaciones al producto</w:t>
      </w:r>
    </w:p>
    <w:p w14:paraId="668AF8D1"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Conjunto de actividades enfocadas a identificar cualquier cambio o modificación del producto, incluyendo:</w:t>
      </w:r>
    </w:p>
    <w:p w14:paraId="7C78488F"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w:t>
      </w:r>
      <w:r>
        <w:rPr>
          <w:rFonts w:ascii="Century Gothic" w:hAnsi="Century Gothic" w:cs="Century Gothic"/>
          <w:color w:val="000000"/>
        </w:rPr>
        <w:tab/>
        <w:t>Condiciones de operación y seguridad de producto, condiciones de uso o aplicación;</w:t>
      </w:r>
    </w:p>
    <w:p w14:paraId="2D847F99"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w:t>
      </w:r>
      <w:r>
        <w:rPr>
          <w:rFonts w:ascii="Century Gothic" w:hAnsi="Century Gothic" w:cs="Century Gothic"/>
          <w:color w:val="000000"/>
        </w:rPr>
        <w:tab/>
        <w:t>Los cambios o modificaciones deben ser notificados a la autoridad competente o al OCP.</w:t>
      </w:r>
    </w:p>
    <w:p w14:paraId="4F1FEEEB"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B.4</w:t>
      </w:r>
      <w:r>
        <w:rPr>
          <w:rFonts w:ascii="Century Gothic" w:hAnsi="Century Gothic" w:cs="Century Gothic"/>
          <w:color w:val="000000"/>
        </w:rPr>
        <w:t xml:space="preserve"> Proceso y registros de distribución de producto para efectos de visitas de seguimiento, y eventual recuperación de producto no-conforme</w:t>
      </w:r>
    </w:p>
    <w:p w14:paraId="171D7B26"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Conjunto de actividades enfocadas a rastrear la distribución del producto (primer nivel de la cadena de distribución), cuyos registros incluyan al menos lo siguiente:</w:t>
      </w:r>
    </w:p>
    <w:p w14:paraId="610A291C"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Descripción del producto;</w:t>
      </w:r>
    </w:p>
    <w:p w14:paraId="5DD7FBE0"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Código, modelo o identificación del producto;</w:t>
      </w:r>
    </w:p>
    <w:p w14:paraId="41E69F02"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Cantidad;</w:t>
      </w:r>
    </w:p>
    <w:p w14:paraId="476EF960"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Destinatario del producto, o lugar en donde se comercializará, cuando aplique;</w:t>
      </w:r>
    </w:p>
    <w:p w14:paraId="0761B610"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B.5</w:t>
      </w:r>
      <w:r>
        <w:rPr>
          <w:rFonts w:ascii="Century Gothic" w:hAnsi="Century Gothic" w:cs="Century Gothic"/>
          <w:color w:val="000000"/>
        </w:rPr>
        <w:t xml:space="preserve"> Proceso de registro y manejo de producto por quejas y reclamaciones al producto</w:t>
      </w:r>
    </w:p>
    <w:p w14:paraId="4A9243A7"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Conjunto de actividades enfocadas a:</w:t>
      </w:r>
    </w:p>
    <w:p w14:paraId="683A2E37"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Mantener un registro de todas las quejas presentadas;</w:t>
      </w:r>
    </w:p>
    <w:p w14:paraId="1B0BD7F0"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Tomar acciones apropiadas con respecto a dichas quejas;</w:t>
      </w:r>
    </w:p>
    <w:p w14:paraId="3067D181" w14:textId="77777777" w:rsidR="0081460F" w:rsidRDefault="0081460F" w:rsidP="0081460F">
      <w:pPr>
        <w:tabs>
          <w:tab w:val="left" w:pos="720"/>
        </w:tabs>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Documentar las acciones tomadas.</w:t>
      </w:r>
    </w:p>
    <w:p w14:paraId="19DD0800"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verificación de los procesos se hará a través del personal de la autoridad competente o del OCP.</w:t>
      </w:r>
    </w:p>
    <w:p w14:paraId="4F889C13"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C</w:t>
      </w:r>
    </w:p>
    <w:p w14:paraId="46D867F5"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(Normativo)</w:t>
      </w:r>
    </w:p>
    <w:p w14:paraId="771900C9" w14:textId="77777777" w:rsidR="0081460F" w:rsidRDefault="0081460F" w:rsidP="0081460F">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color w:val="000000"/>
        </w:rPr>
        <w:t>Agrupación de Familias</w:t>
      </w:r>
    </w:p>
    <w:p w14:paraId="1540169C"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Consideraciones generales para la agrupación de familias:</w:t>
      </w:r>
    </w:p>
    <w:p w14:paraId="56B00E40"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la correcta agrupación de familia, debe considerarse inicialmente la clasificación sin funcionamiento eléctrico. Cuando el juguete integre accesorios o piezas que presenten funcionamiento eléctrico, deberá cumplir con ambas clasificaciones.</w:t>
      </w:r>
    </w:p>
    <w:p w14:paraId="3B1F9434"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la agrupación de familia deben cumplirse cada uno de los incisos que se indican para cada clasificación.</w:t>
      </w:r>
    </w:p>
    <w:p w14:paraId="45855865" w14:textId="77777777" w:rsidR="0081460F" w:rsidRDefault="0081460F" w:rsidP="0081460F">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 Clasificación:</w:t>
      </w:r>
    </w:p>
    <w:p w14:paraId="279CFBCD" w14:textId="77777777" w:rsidR="0081460F" w:rsidRDefault="0081460F" w:rsidP="0081460F">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C.1 Sin funcionamiento eléctrico</w:t>
      </w:r>
    </w:p>
    <w:p w14:paraId="4C74AA88"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a)</w:t>
      </w:r>
      <w:r>
        <w:rPr>
          <w:rFonts w:ascii="Century Gothic" w:hAnsi="Century Gothic" w:cs="Century Gothic"/>
          <w:color w:val="000000"/>
        </w:rPr>
        <w:tab/>
        <w:t>Mismo tipo de juguete o similar en función del patrón de juego;</w:t>
      </w:r>
    </w:p>
    <w:p w14:paraId="32BF130D"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b)</w:t>
      </w:r>
      <w:r>
        <w:rPr>
          <w:rFonts w:ascii="Century Gothic" w:hAnsi="Century Gothic" w:cs="Century Gothic"/>
          <w:color w:val="000000"/>
        </w:rPr>
        <w:tab/>
        <w:t>Misma marca (Se permiten submarcas);</w:t>
      </w:r>
    </w:p>
    <w:p w14:paraId="674AA5EC"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c)</w:t>
      </w:r>
      <w:r>
        <w:rPr>
          <w:rFonts w:ascii="Century Gothic" w:hAnsi="Century Gothic" w:cs="Century Gothic"/>
          <w:color w:val="000000"/>
        </w:rPr>
        <w:tab/>
        <w:t>Mismo fabricante y/o importador y/o mismo proveedor y/o mismo distribuidor y/o mismo comercializador;</w:t>
      </w:r>
    </w:p>
    <w:p w14:paraId="35CC4486"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d)</w:t>
      </w:r>
      <w:r>
        <w:rPr>
          <w:rFonts w:ascii="Century Gothic" w:hAnsi="Century Gothic" w:cs="Century Gothic"/>
          <w:color w:val="000000"/>
        </w:rPr>
        <w:tab/>
        <w:t>Mismo material predominante o similar (metal, madera, plástico, textiles, u otros);</w:t>
      </w:r>
    </w:p>
    <w:p w14:paraId="786D90D5"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color w:val="000000"/>
        </w:rPr>
        <w:lastRenderedPageBreak/>
        <w:t>Se permite la agrupación de diferentes materiales, siempre y cuando se presente un informe de pruebas de laboratorio de cada material predominante o más desfavorable (el de mayor porcentaje);</w:t>
      </w:r>
    </w:p>
    <w:p w14:paraId="1E5A3883"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e)</w:t>
      </w:r>
      <w:r>
        <w:rPr>
          <w:rFonts w:ascii="Century Gothic" w:hAnsi="Century Gothic" w:cs="Century Gothic"/>
          <w:color w:val="000000"/>
        </w:rPr>
        <w:tab/>
        <w:t>Por edad:</w:t>
      </w:r>
    </w:p>
    <w:p w14:paraId="0636BA42" w14:textId="77777777" w:rsidR="0081460F" w:rsidRDefault="0081460F" w:rsidP="0081460F">
      <w:pPr>
        <w:autoSpaceDE w:val="0"/>
        <w:autoSpaceDN w:val="0"/>
        <w:adjustRightInd w:val="0"/>
        <w:spacing w:after="120" w:line="240" w:lineRule="auto"/>
        <w:ind w:left="1394" w:hanging="567"/>
        <w:jc w:val="both"/>
        <w:rPr>
          <w:rFonts w:ascii="Century Gothic" w:hAnsi="Century Gothic" w:cs="Century Gothic"/>
          <w:color w:val="000000"/>
        </w:rPr>
      </w:pPr>
      <w:r>
        <w:rPr>
          <w:rFonts w:ascii="Century Gothic" w:hAnsi="Century Gothic" w:cs="Century Gothic"/>
          <w:b/>
          <w:bCs/>
          <w:color w:val="000000"/>
        </w:rPr>
        <w:t>i.</w:t>
      </w:r>
      <w:r>
        <w:rPr>
          <w:rFonts w:ascii="Century Gothic" w:hAnsi="Century Gothic" w:cs="Century Gothic"/>
          <w:color w:val="000000"/>
        </w:rPr>
        <w:tab/>
        <w:t>Menor de 36 meses;</w:t>
      </w:r>
    </w:p>
    <w:p w14:paraId="7C942015" w14:textId="77777777" w:rsidR="0081460F" w:rsidRDefault="0081460F" w:rsidP="0081460F">
      <w:pPr>
        <w:autoSpaceDE w:val="0"/>
        <w:autoSpaceDN w:val="0"/>
        <w:adjustRightInd w:val="0"/>
        <w:spacing w:after="120" w:line="240" w:lineRule="auto"/>
        <w:ind w:left="1394" w:hanging="567"/>
        <w:jc w:val="both"/>
        <w:rPr>
          <w:rFonts w:ascii="Century Gothic" w:hAnsi="Century Gothic" w:cs="Century Gothic"/>
          <w:color w:val="000000"/>
        </w:rPr>
      </w:pPr>
      <w:proofErr w:type="spellStart"/>
      <w:r>
        <w:rPr>
          <w:rFonts w:ascii="Century Gothic" w:hAnsi="Century Gothic" w:cs="Century Gothic"/>
          <w:b/>
          <w:bCs/>
          <w:color w:val="000000"/>
        </w:rPr>
        <w:t>ii</w:t>
      </w:r>
      <w:proofErr w:type="spellEnd"/>
      <w:r>
        <w:rPr>
          <w:rFonts w:ascii="Century Gothic" w:hAnsi="Century Gothic" w:cs="Century Gothic"/>
          <w:b/>
          <w:bCs/>
          <w:color w:val="000000"/>
        </w:rPr>
        <w:t>.</w:t>
      </w:r>
      <w:r>
        <w:rPr>
          <w:rFonts w:ascii="Century Gothic" w:hAnsi="Century Gothic" w:cs="Century Gothic"/>
          <w:color w:val="000000"/>
        </w:rPr>
        <w:tab/>
        <w:t>36 meses y mayores pero menores de 96 meses;</w:t>
      </w:r>
    </w:p>
    <w:p w14:paraId="599FC8FA" w14:textId="77777777" w:rsidR="0081460F" w:rsidRDefault="0081460F" w:rsidP="0081460F">
      <w:pPr>
        <w:autoSpaceDE w:val="0"/>
        <w:autoSpaceDN w:val="0"/>
        <w:adjustRightInd w:val="0"/>
        <w:spacing w:after="120" w:line="240" w:lineRule="auto"/>
        <w:ind w:left="1394" w:hanging="567"/>
        <w:jc w:val="both"/>
        <w:rPr>
          <w:rFonts w:ascii="Century Gothic" w:hAnsi="Century Gothic" w:cs="Century Gothic"/>
          <w:color w:val="000000"/>
        </w:rPr>
      </w:pPr>
      <w:proofErr w:type="spellStart"/>
      <w:r>
        <w:rPr>
          <w:rFonts w:ascii="Century Gothic" w:hAnsi="Century Gothic" w:cs="Century Gothic"/>
          <w:b/>
          <w:bCs/>
          <w:color w:val="000000"/>
        </w:rPr>
        <w:t>iii</w:t>
      </w:r>
      <w:proofErr w:type="spellEnd"/>
      <w:r>
        <w:rPr>
          <w:rFonts w:ascii="Century Gothic" w:hAnsi="Century Gothic" w:cs="Century Gothic"/>
          <w:b/>
          <w:bCs/>
          <w:color w:val="000000"/>
        </w:rPr>
        <w:t>.</w:t>
      </w:r>
      <w:r>
        <w:rPr>
          <w:rFonts w:ascii="Century Gothic" w:hAnsi="Century Gothic" w:cs="Century Gothic"/>
          <w:color w:val="000000"/>
        </w:rPr>
        <w:tab/>
        <w:t>96 meses y mayores.</w:t>
      </w:r>
    </w:p>
    <w:p w14:paraId="61EE08B1" w14:textId="77777777" w:rsidR="0081460F" w:rsidRDefault="0081460F" w:rsidP="0081460F">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C.2 Con funcionamiento eléctrico</w:t>
      </w:r>
    </w:p>
    <w:p w14:paraId="03D06165"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a)</w:t>
      </w:r>
      <w:r>
        <w:rPr>
          <w:rFonts w:ascii="Century Gothic" w:hAnsi="Century Gothic" w:cs="Century Gothic"/>
          <w:color w:val="000000"/>
        </w:rPr>
        <w:tab/>
        <w:t>Mismo tipo de juguete o similar en características físicas o uso;</w:t>
      </w:r>
    </w:p>
    <w:p w14:paraId="6C35132A"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b)</w:t>
      </w:r>
      <w:r>
        <w:rPr>
          <w:rFonts w:ascii="Century Gothic" w:hAnsi="Century Gothic" w:cs="Century Gothic"/>
          <w:color w:val="000000"/>
        </w:rPr>
        <w:tab/>
        <w:t>Misma función principal;</w:t>
      </w:r>
    </w:p>
    <w:p w14:paraId="4B2D2A4B" w14:textId="77777777" w:rsidR="0081460F" w:rsidRDefault="0081460F" w:rsidP="0081460F">
      <w:pPr>
        <w:numPr>
          <w:ilvl w:val="0"/>
          <w:numId w:val="1"/>
        </w:numPr>
        <w:autoSpaceDE w:val="0"/>
        <w:autoSpaceDN w:val="0"/>
        <w:adjustRightInd w:val="0"/>
        <w:spacing w:after="120" w:line="240" w:lineRule="auto"/>
        <w:ind w:left="1187" w:hanging="360"/>
        <w:jc w:val="both"/>
        <w:rPr>
          <w:rFonts w:ascii="Century Gothic" w:hAnsi="Century Gothic" w:cs="Century Gothic"/>
          <w:color w:val="000000"/>
        </w:rPr>
      </w:pPr>
      <w:r>
        <w:rPr>
          <w:rFonts w:ascii="Century Gothic" w:hAnsi="Century Gothic" w:cs="Century Gothic"/>
          <w:color w:val="000000"/>
        </w:rPr>
        <w:t>Con operación por medio de motor o inductor</w:t>
      </w:r>
    </w:p>
    <w:p w14:paraId="1EBC58CA" w14:textId="77777777" w:rsidR="0081460F" w:rsidRDefault="0081460F" w:rsidP="0081460F">
      <w:pPr>
        <w:numPr>
          <w:ilvl w:val="0"/>
          <w:numId w:val="1"/>
        </w:numPr>
        <w:autoSpaceDE w:val="0"/>
        <w:autoSpaceDN w:val="0"/>
        <w:adjustRightInd w:val="0"/>
        <w:spacing w:after="120" w:line="240" w:lineRule="auto"/>
        <w:ind w:left="1187" w:hanging="360"/>
        <w:jc w:val="both"/>
        <w:rPr>
          <w:rFonts w:ascii="Century Gothic" w:hAnsi="Century Gothic" w:cs="Century Gothic"/>
          <w:color w:val="000000"/>
        </w:rPr>
      </w:pPr>
      <w:r>
        <w:rPr>
          <w:rFonts w:ascii="Century Gothic" w:hAnsi="Century Gothic" w:cs="Century Gothic"/>
          <w:color w:val="000000"/>
        </w:rPr>
        <w:t>Con operación por medio de un elemento calefactor</w:t>
      </w:r>
    </w:p>
    <w:p w14:paraId="3AA6F32F" w14:textId="77777777" w:rsidR="0081460F" w:rsidRDefault="0081460F" w:rsidP="0081460F">
      <w:pPr>
        <w:numPr>
          <w:ilvl w:val="0"/>
          <w:numId w:val="1"/>
        </w:numPr>
        <w:autoSpaceDE w:val="0"/>
        <w:autoSpaceDN w:val="0"/>
        <w:adjustRightInd w:val="0"/>
        <w:spacing w:after="120" w:line="240" w:lineRule="auto"/>
        <w:ind w:left="1187" w:hanging="360"/>
        <w:jc w:val="both"/>
        <w:rPr>
          <w:rFonts w:ascii="Century Gothic" w:hAnsi="Century Gothic" w:cs="Century Gothic"/>
          <w:color w:val="000000"/>
        </w:rPr>
      </w:pPr>
      <w:r>
        <w:rPr>
          <w:rFonts w:ascii="Century Gothic" w:hAnsi="Century Gothic" w:cs="Century Gothic"/>
          <w:color w:val="000000"/>
        </w:rPr>
        <w:t>Con fuente luminosa y/o acústica</w:t>
      </w:r>
    </w:p>
    <w:p w14:paraId="31CC1596"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c)</w:t>
      </w:r>
      <w:r>
        <w:rPr>
          <w:rFonts w:ascii="Century Gothic" w:hAnsi="Century Gothic" w:cs="Century Gothic"/>
          <w:color w:val="000000"/>
        </w:rPr>
        <w:tab/>
        <w:t>Misma marca (Se permiten submarcas);</w:t>
      </w:r>
    </w:p>
    <w:p w14:paraId="7D64E837"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d)</w:t>
      </w:r>
      <w:r>
        <w:rPr>
          <w:rFonts w:ascii="Century Gothic" w:hAnsi="Century Gothic" w:cs="Century Gothic"/>
          <w:color w:val="000000"/>
        </w:rPr>
        <w:tab/>
        <w:t>Mismo fabricante y/o importador y/o mismo proveedor y/o mismo distribuidor y/o mismo comercializador;</w:t>
      </w:r>
    </w:p>
    <w:p w14:paraId="232D862F"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e)</w:t>
      </w:r>
      <w:r>
        <w:rPr>
          <w:rFonts w:ascii="Century Gothic" w:hAnsi="Century Gothic" w:cs="Century Gothic"/>
          <w:color w:val="000000"/>
        </w:rPr>
        <w:tab/>
        <w:t>Mismo tipo de alimentación:</w:t>
      </w:r>
    </w:p>
    <w:p w14:paraId="24818AD3" w14:textId="77777777" w:rsidR="0081460F" w:rsidRDefault="0081460F" w:rsidP="0081460F">
      <w:pPr>
        <w:numPr>
          <w:ilvl w:val="0"/>
          <w:numId w:val="1"/>
        </w:numPr>
        <w:tabs>
          <w:tab w:val="left" w:pos="720"/>
        </w:tabs>
        <w:autoSpaceDE w:val="0"/>
        <w:autoSpaceDN w:val="0"/>
        <w:adjustRightInd w:val="0"/>
        <w:spacing w:after="120" w:line="240" w:lineRule="auto"/>
        <w:ind w:left="1187" w:hanging="360"/>
        <w:jc w:val="both"/>
        <w:rPr>
          <w:rFonts w:ascii="Century Gothic" w:hAnsi="Century Gothic" w:cs="Century Gothic"/>
          <w:color w:val="000000"/>
        </w:rPr>
      </w:pPr>
      <w:r>
        <w:rPr>
          <w:rFonts w:ascii="Century Gothic" w:hAnsi="Century Gothic" w:cs="Century Gothic"/>
          <w:color w:val="000000"/>
        </w:rPr>
        <w:tab/>
        <w:t>De pilas o baterías</w:t>
      </w:r>
    </w:p>
    <w:p w14:paraId="18B77AA6" w14:textId="77777777" w:rsidR="0081460F" w:rsidRDefault="0081460F" w:rsidP="0081460F">
      <w:pPr>
        <w:autoSpaceDE w:val="0"/>
        <w:autoSpaceDN w:val="0"/>
        <w:adjustRightInd w:val="0"/>
        <w:spacing w:after="120" w:line="240" w:lineRule="auto"/>
        <w:ind w:left="1961" w:hanging="567"/>
        <w:jc w:val="both"/>
        <w:rPr>
          <w:rFonts w:ascii="Century Gothic" w:hAnsi="Century Gothic" w:cs="Century Gothic"/>
          <w:color w:val="000000"/>
        </w:rPr>
      </w:pPr>
      <w:r>
        <w:rPr>
          <w:rFonts w:ascii="Century Gothic" w:hAnsi="Century Gothic" w:cs="Century Gothic"/>
          <w:b/>
          <w:bCs/>
          <w:color w:val="000000"/>
        </w:rPr>
        <w:t>i.</w:t>
      </w:r>
      <w:r>
        <w:rPr>
          <w:rFonts w:ascii="Century Gothic" w:hAnsi="Century Gothic" w:cs="Century Gothic"/>
          <w:color w:val="000000"/>
        </w:rPr>
        <w:tab/>
        <w:t>Menor que 12 V, excepto botón o R1;</w:t>
      </w:r>
    </w:p>
    <w:p w14:paraId="51E8FC68" w14:textId="77777777" w:rsidR="0081460F" w:rsidRDefault="0081460F" w:rsidP="0081460F">
      <w:pPr>
        <w:autoSpaceDE w:val="0"/>
        <w:autoSpaceDN w:val="0"/>
        <w:adjustRightInd w:val="0"/>
        <w:spacing w:after="120" w:line="240" w:lineRule="auto"/>
        <w:ind w:left="1961" w:hanging="567"/>
        <w:jc w:val="both"/>
        <w:rPr>
          <w:rFonts w:ascii="Century Gothic" w:hAnsi="Century Gothic" w:cs="Century Gothic"/>
          <w:color w:val="000000"/>
        </w:rPr>
      </w:pPr>
      <w:proofErr w:type="spellStart"/>
      <w:r>
        <w:rPr>
          <w:rFonts w:ascii="Century Gothic" w:hAnsi="Century Gothic" w:cs="Century Gothic"/>
          <w:b/>
          <w:bCs/>
          <w:color w:val="000000"/>
        </w:rPr>
        <w:t>ii</w:t>
      </w:r>
      <w:proofErr w:type="spellEnd"/>
      <w:r>
        <w:rPr>
          <w:rFonts w:ascii="Century Gothic" w:hAnsi="Century Gothic" w:cs="Century Gothic"/>
          <w:b/>
          <w:bCs/>
          <w:color w:val="000000"/>
        </w:rPr>
        <w:t>.</w:t>
      </w:r>
      <w:r>
        <w:rPr>
          <w:rFonts w:ascii="Century Gothic" w:hAnsi="Century Gothic" w:cs="Century Gothic"/>
          <w:color w:val="000000"/>
        </w:rPr>
        <w:tab/>
        <w:t>Mayor o igual que 12 V y menor o igual que 24 V;</w:t>
      </w:r>
    </w:p>
    <w:p w14:paraId="72281445" w14:textId="77777777" w:rsidR="0081460F" w:rsidRDefault="0081460F" w:rsidP="0081460F">
      <w:pPr>
        <w:autoSpaceDE w:val="0"/>
        <w:autoSpaceDN w:val="0"/>
        <w:adjustRightInd w:val="0"/>
        <w:spacing w:after="120" w:line="240" w:lineRule="auto"/>
        <w:ind w:left="1961" w:hanging="567"/>
        <w:jc w:val="both"/>
        <w:rPr>
          <w:rFonts w:ascii="Century Gothic" w:hAnsi="Century Gothic" w:cs="Century Gothic"/>
          <w:color w:val="000000"/>
        </w:rPr>
      </w:pPr>
      <w:proofErr w:type="spellStart"/>
      <w:r>
        <w:rPr>
          <w:rFonts w:ascii="Century Gothic" w:hAnsi="Century Gothic" w:cs="Century Gothic"/>
          <w:b/>
          <w:bCs/>
          <w:color w:val="000000"/>
        </w:rPr>
        <w:t>iii</w:t>
      </w:r>
      <w:proofErr w:type="spellEnd"/>
      <w:r>
        <w:rPr>
          <w:rFonts w:ascii="Century Gothic" w:hAnsi="Century Gothic" w:cs="Century Gothic"/>
          <w:b/>
          <w:bCs/>
          <w:color w:val="000000"/>
        </w:rPr>
        <w:t>.</w:t>
      </w:r>
      <w:r>
        <w:rPr>
          <w:rFonts w:ascii="Century Gothic" w:hAnsi="Century Gothic" w:cs="Century Gothic"/>
          <w:color w:val="000000"/>
        </w:rPr>
        <w:tab/>
        <w:t>Tipo botón o R1.</w:t>
      </w:r>
    </w:p>
    <w:p w14:paraId="069E89E4" w14:textId="77777777" w:rsidR="0081460F" w:rsidRDefault="0081460F" w:rsidP="0081460F">
      <w:pPr>
        <w:numPr>
          <w:ilvl w:val="0"/>
          <w:numId w:val="1"/>
        </w:numPr>
        <w:tabs>
          <w:tab w:val="left" w:pos="827"/>
        </w:tabs>
        <w:autoSpaceDE w:val="0"/>
        <w:autoSpaceDN w:val="0"/>
        <w:adjustRightInd w:val="0"/>
        <w:spacing w:after="120" w:line="240" w:lineRule="auto"/>
        <w:ind w:left="1111" w:hanging="360"/>
        <w:jc w:val="both"/>
        <w:rPr>
          <w:rFonts w:ascii="Century Gothic" w:hAnsi="Century Gothic" w:cs="Century Gothic"/>
          <w:color w:val="000000"/>
        </w:rPr>
      </w:pPr>
      <w:r>
        <w:rPr>
          <w:rFonts w:ascii="Century Gothic" w:hAnsi="Century Gothic" w:cs="Century Gothic"/>
          <w:color w:val="000000"/>
        </w:rPr>
        <w:tab/>
        <w:t>De transformador o fuente de alimentación</w:t>
      </w:r>
    </w:p>
    <w:p w14:paraId="0B1C95D2" w14:textId="77777777" w:rsidR="0081460F" w:rsidRDefault="0081460F" w:rsidP="0081460F">
      <w:pPr>
        <w:autoSpaceDE w:val="0"/>
        <w:autoSpaceDN w:val="0"/>
        <w:adjustRightInd w:val="0"/>
        <w:spacing w:after="120" w:line="240" w:lineRule="auto"/>
        <w:ind w:left="1961" w:hanging="567"/>
        <w:jc w:val="both"/>
        <w:rPr>
          <w:rFonts w:ascii="Century Gothic" w:hAnsi="Century Gothic" w:cs="Century Gothic"/>
          <w:color w:val="000000"/>
        </w:rPr>
      </w:pPr>
      <w:r>
        <w:rPr>
          <w:rFonts w:ascii="Century Gothic" w:hAnsi="Century Gothic" w:cs="Century Gothic"/>
          <w:b/>
          <w:bCs/>
          <w:color w:val="000000"/>
        </w:rPr>
        <w:t>i.</w:t>
      </w:r>
      <w:r>
        <w:rPr>
          <w:rFonts w:ascii="Century Gothic" w:hAnsi="Century Gothic" w:cs="Century Gothic"/>
          <w:color w:val="000000"/>
        </w:rPr>
        <w:tab/>
        <w:t>Debe ser de la misma tensión de alimentación y se permite una variación en la potencia asignada de entrada de 20% considerando como base el modelo de mayor potencia y aplicando el límite hacia abajo.</w:t>
      </w:r>
    </w:p>
    <w:p w14:paraId="62AC5049" w14:textId="77777777" w:rsidR="0081460F" w:rsidRDefault="0081460F" w:rsidP="0081460F">
      <w:pPr>
        <w:numPr>
          <w:ilvl w:val="0"/>
          <w:numId w:val="1"/>
        </w:numPr>
        <w:autoSpaceDE w:val="0"/>
        <w:autoSpaceDN w:val="0"/>
        <w:adjustRightInd w:val="0"/>
        <w:spacing w:after="120" w:line="240" w:lineRule="auto"/>
        <w:ind w:left="1394" w:hanging="360"/>
        <w:jc w:val="both"/>
        <w:rPr>
          <w:rFonts w:ascii="Century Gothic" w:hAnsi="Century Gothic" w:cs="Century Gothic"/>
          <w:color w:val="000000"/>
        </w:rPr>
      </w:pPr>
      <w:r>
        <w:rPr>
          <w:rFonts w:ascii="Century Gothic" w:hAnsi="Century Gothic" w:cs="Century Gothic"/>
          <w:color w:val="000000"/>
        </w:rPr>
        <w:tab/>
        <w:t>Doble alimentación</w:t>
      </w:r>
    </w:p>
    <w:p w14:paraId="0790E6CD" w14:textId="77777777" w:rsidR="0081460F" w:rsidRDefault="0081460F" w:rsidP="0081460F">
      <w:pPr>
        <w:autoSpaceDE w:val="0"/>
        <w:autoSpaceDN w:val="0"/>
        <w:adjustRightInd w:val="0"/>
        <w:spacing w:after="120" w:line="240" w:lineRule="auto"/>
        <w:ind w:left="1961" w:hanging="567"/>
        <w:jc w:val="both"/>
        <w:rPr>
          <w:rFonts w:ascii="Century Gothic" w:hAnsi="Century Gothic" w:cs="Century Gothic"/>
          <w:color w:val="000000"/>
        </w:rPr>
      </w:pPr>
      <w:r>
        <w:rPr>
          <w:rFonts w:ascii="Century Gothic" w:hAnsi="Century Gothic" w:cs="Century Gothic"/>
          <w:b/>
          <w:bCs/>
          <w:color w:val="000000"/>
        </w:rPr>
        <w:t>i.</w:t>
      </w:r>
      <w:r>
        <w:rPr>
          <w:rFonts w:ascii="Century Gothic" w:hAnsi="Century Gothic" w:cs="Century Gothic"/>
          <w:color w:val="000000"/>
        </w:rPr>
        <w:tab/>
        <w:t>Considerar los dos anteriores</w:t>
      </w:r>
    </w:p>
    <w:p w14:paraId="5CF2F7A0" w14:textId="77777777" w:rsidR="0081460F" w:rsidRDefault="0081460F" w:rsidP="0081460F">
      <w:pPr>
        <w:numPr>
          <w:ilvl w:val="0"/>
          <w:numId w:val="1"/>
        </w:numPr>
        <w:autoSpaceDE w:val="0"/>
        <w:autoSpaceDN w:val="0"/>
        <w:adjustRightInd w:val="0"/>
        <w:spacing w:after="120" w:line="240" w:lineRule="auto"/>
        <w:ind w:left="1394" w:hanging="360"/>
        <w:jc w:val="both"/>
        <w:rPr>
          <w:rFonts w:ascii="Century Gothic" w:hAnsi="Century Gothic" w:cs="Century Gothic"/>
          <w:color w:val="000000"/>
        </w:rPr>
      </w:pPr>
      <w:r>
        <w:rPr>
          <w:rFonts w:ascii="Century Gothic" w:hAnsi="Century Gothic" w:cs="Century Gothic"/>
          <w:color w:val="000000"/>
        </w:rPr>
        <w:tab/>
        <w:t>Otras fuentes de alimentación</w:t>
      </w:r>
    </w:p>
    <w:p w14:paraId="701294F5" w14:textId="77777777" w:rsidR="0081460F" w:rsidRDefault="0081460F" w:rsidP="0081460F">
      <w:pPr>
        <w:autoSpaceDE w:val="0"/>
        <w:autoSpaceDN w:val="0"/>
        <w:adjustRightInd w:val="0"/>
        <w:spacing w:after="120" w:line="240" w:lineRule="auto"/>
        <w:ind w:left="1961" w:hanging="567"/>
        <w:jc w:val="both"/>
        <w:rPr>
          <w:rFonts w:ascii="Century Gothic" w:hAnsi="Century Gothic" w:cs="Century Gothic"/>
          <w:color w:val="000000"/>
        </w:rPr>
      </w:pPr>
      <w:r>
        <w:rPr>
          <w:rFonts w:ascii="Century Gothic" w:hAnsi="Century Gothic" w:cs="Century Gothic"/>
          <w:b/>
          <w:bCs/>
          <w:color w:val="000000"/>
        </w:rPr>
        <w:t>i.</w:t>
      </w:r>
      <w:r>
        <w:rPr>
          <w:rFonts w:ascii="Century Gothic" w:hAnsi="Century Gothic" w:cs="Century Gothic"/>
          <w:color w:val="000000"/>
        </w:rPr>
        <w:tab/>
        <w:t>Mismo tipo y tensión de alimentación.</w:t>
      </w:r>
    </w:p>
    <w:p w14:paraId="13E9610F"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b/>
          <w:bCs/>
          <w:color w:val="000000"/>
        </w:rPr>
        <w:t>f)</w:t>
      </w:r>
      <w:r>
        <w:rPr>
          <w:rFonts w:ascii="Century Gothic" w:hAnsi="Century Gothic" w:cs="Century Gothic"/>
          <w:color w:val="000000"/>
        </w:rPr>
        <w:tab/>
        <w:t>Mismo circuito fundamental eléctrico/electrónico, en principio de funcionamiento y diseño semejante o equivalente.</w:t>
      </w:r>
    </w:p>
    <w:p w14:paraId="7B3D3F35" w14:textId="77777777" w:rsidR="0081460F" w:rsidRDefault="0081460F" w:rsidP="0081460F">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la selección de la(s) muestra(s) representativa(s) de la familia se deberá considerar lo siguiente:</w:t>
      </w:r>
    </w:p>
    <w:p w14:paraId="77AECE62"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color w:val="000000"/>
        </w:rPr>
        <w:lastRenderedPageBreak/>
        <w:t>-</w:t>
      </w:r>
      <w:r>
        <w:rPr>
          <w:rFonts w:ascii="Century Gothic" w:hAnsi="Century Gothic" w:cs="Century Gothic"/>
          <w:color w:val="000000"/>
        </w:rPr>
        <w:tab/>
        <w:t>El espécimen que tenga mayor potencia asignada y/o la que incorpore la mayor cantidad de funciones obteniéndose los resultados más desfavorables.</w:t>
      </w:r>
    </w:p>
    <w:p w14:paraId="083088CE"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El espécimen que tenga la mayor cantidad de accesorios o piezas adicionadas como variantes de modelo.</w:t>
      </w:r>
    </w:p>
    <w:p w14:paraId="48FCFC69" w14:textId="77777777" w:rsidR="0081460F" w:rsidRDefault="0081460F" w:rsidP="0081460F">
      <w:pPr>
        <w:tabs>
          <w:tab w:val="left" w:pos="720"/>
        </w:tabs>
        <w:autoSpaceDE w:val="0"/>
        <w:autoSpaceDN w:val="0"/>
        <w:adjustRightInd w:val="0"/>
        <w:spacing w:after="120" w:line="240" w:lineRule="auto"/>
        <w:ind w:left="827" w:hanging="567"/>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De pilas o baterías será la de mayor tensión y cantidad de pilas o baterías.</w:t>
      </w:r>
    </w:p>
    <w:p w14:paraId="2C6C1D1D" w14:textId="77777777" w:rsidR="00B46BF6" w:rsidRDefault="0081460F" w:rsidP="0081460F">
      <w:r>
        <w:rPr>
          <w:rFonts w:ascii="Century Gothic" w:hAnsi="Century Gothic" w:cs="Century Gothic"/>
          <w:color w:val="000000"/>
        </w:rPr>
        <w:t>La muestra se conforma como máximo de 2 especímenes del modelo representativo de la familia de productos.</w:t>
      </w:r>
    </w:p>
    <w:sectPr w:rsidR="00B46B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DAE788"/>
    <w:lvl w:ilvl="0">
      <w:numFmt w:val="bullet"/>
      <w:lvlText w:val="*"/>
      <w:lvlJc w:val="left"/>
    </w:lvl>
  </w:abstractNum>
  <w:num w:numId="1" w16cid:durableId="157427107">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0F"/>
    <w:rsid w:val="002E6ED5"/>
    <w:rsid w:val="0081460F"/>
    <w:rsid w:val="00917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3BF3"/>
  <w15:chartTrackingRefBased/>
  <w15:docId w15:val="{E28AE8C7-E15E-40B0-864B-0ACF94B8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1297</Words>
  <Characters>7135</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Ocampo</dc:creator>
  <cp:keywords/>
  <dc:description/>
  <cp:lastModifiedBy>Ana Ocampo</cp:lastModifiedBy>
  <cp:revision>1</cp:revision>
  <dcterms:created xsi:type="dcterms:W3CDTF">2022-07-25T13:26:00Z</dcterms:created>
  <dcterms:modified xsi:type="dcterms:W3CDTF">2022-07-25T13:29:00Z</dcterms:modified>
</cp:coreProperties>
</file>