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1. ESPECIFICACIONES DE PRESION DE VAPOR Y TEMPERATURAS DE DESTILACION DE LAS GASOLINAS SEGUN LA CLASE DE VOLATILIDAD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tbl>
      <w:tblPr>
        <w:tblW w:w="10488" w:type="dxa"/>
        <w:jc w:val="center"/>
        <w:tblInd w:w="-81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677"/>
        <w:gridCol w:w="5811"/>
      </w:tblGrid>
      <w:tr w:rsidR="00256449" w:rsidTr="00256449">
        <w:trPr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CLASE DE VOLATILIDAD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tbl>
      <w:tblPr>
        <w:tblW w:w="10469" w:type="dxa"/>
        <w:jc w:val="center"/>
        <w:tblInd w:w="-79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628"/>
        <w:gridCol w:w="1097"/>
        <w:gridCol w:w="1150"/>
        <w:gridCol w:w="1141"/>
        <w:gridCol w:w="1196"/>
        <w:gridCol w:w="1257"/>
      </w:tblGrid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3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Propiedad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36" w:hanging="3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</w:tr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935"/>
              <w:jc w:val="both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Presión de Vapor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Reid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(lb/pulg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a 54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(6.5 a 7.8)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a 62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(7.8 a 9.0)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a 69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(9 a 10.0)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a 79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 a 11.5)</w:t>
            </w:r>
          </w:p>
        </w:tc>
      </w:tr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2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máxima de destilación del 10%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ºC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5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destilación del 50%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ºC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a 121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a 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a 118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a 116</w:t>
            </w:r>
          </w:p>
        </w:tc>
      </w:tr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3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máxima de destilación del 90%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ºC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</w:tr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80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máxima de ebullición final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ºC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</w:tr>
      <w:tr w:rsidR="00256449" w:rsidTr="00256449">
        <w:trPr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17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Residuo de la destilación, valor máximo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OBSERVACIONES:</w:t>
      </w:r>
    </w:p>
    <w:p w:rsidR="00256449" w:rsidRDefault="00256449" w:rsidP="00256449">
      <w:pPr>
        <w:tabs>
          <w:tab w:val="left" w:pos="981"/>
        </w:tabs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Las clases de volatilidad mencionadas en la Tabla 1 corresponden a las de la especificación para combustible de motores de encendido por chispa (ASTM D 4814-04be1). La volatilidad de un combustible se especifica con una designación alfanumérica que utiliza una letra de la Tabla 1 y un número de la Tabla 2.</w:t>
      </w:r>
    </w:p>
    <w:p w:rsidR="00256449" w:rsidRDefault="00256449" w:rsidP="00256449">
      <w:pPr>
        <w:tabs>
          <w:tab w:val="left" w:pos="981"/>
        </w:tabs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Se especifica un intervalo para la presión de vapor, a diferencia de la especificación para combustible de motores de encendido por chispa, que sólo establece un valor máximo para cada clase de volatilidad (ASTM D 4814-04be1). La determinación de la presión de vapor se efectúa de acuerdo al método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el método Presión de vapor de gasolina o mezclas oxigenadas de gasolina (Método Seco) (ASTM 0323-99ª)</w:t>
      </w:r>
    </w:p>
    <w:p w:rsidR="00256449" w:rsidRDefault="00256449" w:rsidP="00256449">
      <w:pPr>
        <w:tabs>
          <w:tab w:val="left" w:pos="260"/>
        </w:tabs>
        <w:autoSpaceDE w:val="0"/>
        <w:autoSpaceDN w:val="0"/>
        <w:adjustRightInd w:val="0"/>
        <w:spacing w:after="12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Las temperaturas de destilación de todas las tablas de esta NOM están indicadas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ºC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normalizadas a una presión de 101.3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kPa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(760 mm Hg) y se determinan mediante el método de Destilación para Productos de petróleo. (ASTM 086-05) En el numeral 8. Bibliografía se pueden encontrar los métodos de prueba ASTM indicados en las Tablas.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TABLA 2. ESPECIFICACIONES PARA PROTECCION CONTRA SELLO DE VAPOR 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499" w:type="dxa"/>
        <w:jc w:val="center"/>
        <w:tblInd w:w="-81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378"/>
        <w:gridCol w:w="781"/>
        <w:gridCol w:w="835"/>
        <w:gridCol w:w="835"/>
        <w:gridCol w:w="835"/>
        <w:gridCol w:w="835"/>
      </w:tblGrid>
      <w:tr w:rsidR="00256449" w:rsidTr="00256449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1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Clase de Protección contra Sello de Vapor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256449" w:rsidTr="00256449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(°C) para crear una relación vapor/líquido igual a 20, determinada con base al método Proporción vapor-líquido de combustibles para motores de encendido por chispa. (ASTM D 2533-99)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3. ZONAS GEOGRAFICAS DE DISTRIBUCION DE GASOLINA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430"/>
        <w:gridCol w:w="9058"/>
      </w:tblGrid>
      <w:tr w:rsidR="00256449" w:rsidTr="00256449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Zona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Descripción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430"/>
        <w:gridCol w:w="9058"/>
      </w:tblGrid>
      <w:tr w:rsidR="00256449" w:rsidTr="00256449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Noreste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2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 Cadereyta, TAD: Cd. Juárez, Chihuahua, Durango, Gómez Palacio, Matehuala, S.L.P., Santa Catarina,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Monterrey, N. Laredo, Reynosa, Sabinas, Saltillo, Parral.</w:t>
            </w:r>
          </w:p>
        </w:tc>
      </w:tr>
      <w:tr w:rsidR="00256449" w:rsidTr="00256449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Centro-NE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TAD Cd. Madero, Cd. Mante, Cd. Valles, Cd. Victoria, Poza Rica, San Luis Potosí</w:t>
            </w:r>
          </w:p>
        </w:tc>
      </w:tr>
      <w:tr w:rsidR="00256449" w:rsidTr="00256449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Sureste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Campeche,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Escamela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Jalapa, Mérida, TAD Pajaritos, Ver., Perote,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Suptcia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Veracruz, CE Progreso, Puebla, Tehuacán, Tierra Blanca, Veracruz, Villahermosa, Tabasco.</w:t>
            </w:r>
          </w:p>
        </w:tc>
      </w:tr>
      <w:tr w:rsidR="00256449" w:rsidTr="00256449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Bajío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Aguascalientes, El Castillo, El Salto, Irapuato, León, Morelia, Uruapan, Zacatecas, Zamora, Tepic.</w:t>
            </w:r>
          </w:p>
        </w:tc>
      </w:tr>
      <w:tr w:rsidR="00256449" w:rsidTr="00256449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TAD Cuautla, Cuernavaca, Iguala, Pachuca, Toluca, Celaya, Querétaro. TAD 18 de Marzo Azcapotzalco, TS. Oriente A., TS Sur Barranca del Muerto, TS Norte S. Juan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Ixhuatepec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Tula.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68"/>
        <w:gridCol w:w="426"/>
        <w:gridCol w:w="9094"/>
      </w:tblGrid>
      <w:tr w:rsidR="00256449" w:rsidTr="00256449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Pacífico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6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Acapulco, Colima, Lázaro Cárdenas, Manzanillo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Oaxaca,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 Salina Cruz, Tapachula, Tuxtla Gutiérrez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18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Culiacán, Mazatlán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18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Guamúchil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Suptcia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V., Guaymas, La Paz, Navojoa,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Topolobampo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29" w:right="74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Cd. Obregón, Ensenada, Hermosillo, Magdalena, Mexicali, Nogales, Rosarito (Tijuana).</w:t>
            </w:r>
          </w:p>
        </w:tc>
      </w:tr>
    </w:tbl>
    <w:p w:rsidR="00256449" w:rsidRDefault="00256449" w:rsidP="00256449">
      <w:pPr>
        <w:tabs>
          <w:tab w:val="left" w:pos="51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CTT (Centro de Transportación Terrestre)</w:t>
      </w:r>
      <w:r>
        <w:rPr>
          <w:rFonts w:ascii="Arial" w:hAnsi="Arial" w:cs="Arial"/>
          <w:color w:val="000000"/>
          <w:sz w:val="18"/>
          <w:szCs w:val="18"/>
        </w:rPr>
        <w:tab/>
        <w:t>CE (Centro Embarcador)</w:t>
      </w:r>
    </w:p>
    <w:p w:rsidR="00256449" w:rsidRDefault="00256449" w:rsidP="00256449">
      <w:pPr>
        <w:tabs>
          <w:tab w:val="left" w:pos="51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TAD (Terminal de Almacenamiento y Distribución) </w:t>
      </w:r>
      <w:r>
        <w:rPr>
          <w:rFonts w:ascii="Arial" w:hAnsi="Arial" w:cs="Arial"/>
          <w:color w:val="000000"/>
          <w:sz w:val="18"/>
          <w:szCs w:val="18"/>
        </w:rPr>
        <w:tab/>
        <w:t>TS (Terminal Satélite)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TABLA 4. CLASE DE VOLATILIDAD DE LAS GASOLINAS DE ACUERDO A LAS ZONAS GEOGRAFICAS Y A LA EPOCA DEL AÑO 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(1)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tbl>
      <w:tblPr>
        <w:tblW w:w="0" w:type="auto"/>
        <w:jc w:val="center"/>
        <w:tblInd w:w="847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13"/>
        <w:gridCol w:w="773"/>
        <w:gridCol w:w="859"/>
        <w:gridCol w:w="777"/>
        <w:gridCol w:w="541"/>
        <w:gridCol w:w="1717"/>
        <w:gridCol w:w="735"/>
        <w:gridCol w:w="857"/>
        <w:gridCol w:w="1241"/>
      </w:tblGrid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Noreste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Centro-Noreste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Sureste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Bajío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Pacífico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ZMVM</w:t>
            </w:r>
          </w:p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 ZMG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Monterrey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83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13"/>
        <w:gridCol w:w="773"/>
        <w:gridCol w:w="859"/>
        <w:gridCol w:w="777"/>
        <w:gridCol w:w="541"/>
        <w:gridCol w:w="381"/>
        <w:gridCol w:w="468"/>
        <w:gridCol w:w="458"/>
        <w:gridCol w:w="410"/>
        <w:gridCol w:w="735"/>
        <w:gridCol w:w="857"/>
        <w:gridCol w:w="1241"/>
      </w:tblGrid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C-3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Febrero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C-3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B-2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B-2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B-2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Junio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A-1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A-1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A-1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B-2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Octubre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B-2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C-3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256449" w:rsidTr="00256449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Diciembre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C-3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AA-3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esta Tabla, A debe leerse como A-1, B como B-2, C como C-3, tal como se indica para la zona Noreste.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TABLA 5. ESPECIFICACIONES GENERALES DE LAS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GASOLINAS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228"/>
        <w:gridCol w:w="1984"/>
        <w:gridCol w:w="1559"/>
      </w:tblGrid>
      <w:tr w:rsidR="00256449" w:rsidTr="00256449">
        <w:trPr>
          <w:jc w:val="center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47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DEL PRODUCTO: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Pemex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Premium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Pemex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Magna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853"/>
        <w:gridCol w:w="851"/>
        <w:gridCol w:w="4524"/>
        <w:gridCol w:w="1945"/>
        <w:gridCol w:w="1700"/>
      </w:tblGrid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4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Propiedad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83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Método de Prueba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 específico a 20°C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Procedimiento para densidad, densidad relativa (gravedad específica) o gravedad de petróleo crudo o productos de petróleo líquido por hidrómetro. (ASTM D 1298-99e2)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Prueba Doctor o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Azufre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Mercaptánico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PESO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58" w:right="283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Análisis cualitativo de especies activas de azufre en combustibles y solventes (Prueba Doctor). (ASTM D 4952-02)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Determinación de azufre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mercaptánico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gasolina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,queroseno,combustibles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destilados para aviones de turbina (Método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potenciométrico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). (ASTM D 3227-04ª)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Negativa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máximo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Negativa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máximo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Corrosión al Cu, 3 horas a 50°C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Detección de corrosión por cobre en productos de petróleo por la prueba de mancha de tira de cobre. (ASTM 0130-04)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 # 1 máximo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 # 1 máximo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Goma preformada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g/l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Gomas existentes en combustibles por evaporación por chorro. (ASTM 0381-04)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0.040 máximo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0.040 máximo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Gomas no lavadas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g/l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Gomas existentes en combustibles por evaporación por chorro. (ASTM 0381-04)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 máximo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 máximo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Azufre,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PESO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S en productos de petróleo por espectroscopia de rayos X de fluorescencia por dispersión de energía. (ASTM D 4294-03)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azufre total en hidrocarburos ligeros (ASTM D 5453-05)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promedio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Octubre 2006: 30 promedio / 80 máximo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9" w:right="8" w:firstLine="14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ZMVM, ZMG, ZMM:</w:t>
            </w:r>
          </w:p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9" w:right="8" w:firstLine="14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500 máximo;</w:t>
            </w:r>
          </w:p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9" w:right="8" w:firstLine="14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Resto del país:1000 máximo</w:t>
            </w:r>
          </w:p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9" w:right="8" w:firstLine="14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ZMVM, ZMG, ZMM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Octubre 2008: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promedio / 80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Resto del País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Enero 2009: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promedio/ 80 máximo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Periodo de inducción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minutos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Estabilidad de oxidación de gasolina (Método de periodo de inducción) (ASTM 0525-05)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mínimo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mínimo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de octano (RON)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Número de octano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combustible para motores de encendido por chispa (ASTM D 2699-04a)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mínimo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de octano (MON)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de octano Motor de combustibles para motores de encendido por chispa (ASTM D 2700-04ª)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 mínimo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octano (RON+MON)/2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2699-04a)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2700-04ª)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 mínimo,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con la excepción de 91 mínimo para las siguientes TAD definidas en la Tabla 3: Cd. Juárez,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Chihuhua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y Parral de la Zona Noreste y Zona Pacífico Z4 (excepto Cd. Obregón y Hermosillo)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mínimo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Contenido de fósforo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g/l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Fósforo en gasolina (ASTM D 3231-99)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 máximo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 máximo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Color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Visual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Informar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rojo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(5)</w:t>
            </w:r>
          </w:p>
        </w:tc>
      </w:tr>
      <w:tr w:rsidR="00256449" w:rsidTr="00256449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26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Aditivo detergente dispersante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Evaluación de combustible automotriz sin plomo en inyectores para motores de encendido por chispa: incrustaciones en el puerto electrónico del inyector de combustible (ASTM D 5598-01)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17" w:righ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Evaluación de combustible automotriz sin plomo para motores de encendido por chispa: formación de depósitos en la válvula de admisión. (1) (ASTM D 5500-98 (2005)e1)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0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Según aditivo, en la cantidad que permita que el combustible pase las pruebas indicadas de restricción de flujo en los inyectores y de formación de depósitos en las válvulas de admisión.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OBSERVACIONES: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ab/>
        <w:t>Las especificaciones aplican a centros de producción.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ab/>
        <w:t>Para esta Tabla, se considera Resto del País toda la extensión del territorio nacional excluyendo las Zonas Metropolitanas del Valle de México, de Guadalajara y de Monterrey.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Para fines de comparación se colocan la muestra tipo y la gasolina en botellas de 120 ml (aproximadamente 4 onzas).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(4)</w:t>
      </w:r>
      <w:r>
        <w:rPr>
          <w:rFonts w:ascii="Arial" w:hAnsi="Arial" w:cs="Arial"/>
          <w:color w:val="000000"/>
          <w:sz w:val="18"/>
          <w:szCs w:val="18"/>
        </w:rPr>
        <w:tab/>
        <w:t>No se agrega anilina ni otro colorante a la gasolina Pemex Premium.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(5)</w:t>
      </w:r>
      <w:r>
        <w:rPr>
          <w:rFonts w:ascii="Arial" w:hAnsi="Arial" w:cs="Arial"/>
          <w:color w:val="000000"/>
          <w:sz w:val="18"/>
          <w:szCs w:val="18"/>
        </w:rPr>
        <w:tab/>
        <w:t>El color rojo de la gasolina, logrado con 2 mg de anilina por cada litro de gasolina debe igualar al de una muestra patrón que se prepara en solución acuosa como sigue:</w:t>
      </w:r>
    </w:p>
    <w:tbl>
      <w:tblPr>
        <w:tblW w:w="0" w:type="auto"/>
        <w:jc w:val="center"/>
        <w:tblInd w:w="324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960"/>
        <w:gridCol w:w="2936"/>
      </w:tblGrid>
      <w:tr w:rsidR="00256449" w:rsidTr="00256449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Compuesto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Concentración</w:t>
            </w:r>
          </w:p>
        </w:tc>
      </w:tr>
      <w:tr w:rsidR="00256449" w:rsidTr="00256449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CoCl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.6H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 kg/m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256449" w:rsidTr="00256449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 dm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(6)</w:t>
      </w:r>
      <w:r>
        <w:rPr>
          <w:rFonts w:ascii="Arial" w:hAnsi="Arial" w:cs="Arial"/>
          <w:color w:val="000000"/>
          <w:sz w:val="18"/>
          <w:szCs w:val="18"/>
        </w:rPr>
        <w:tab/>
        <w:t>Actualmente se utiliza el aditivo IMP DG-15 que efectivamente mantiene los niveles de depósitos establecidos en los métodos de prueba indicados.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(7)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En la columna de Método de Prueba de esta Tabla y las siguientes se incluye la clave del método de prueba correspondiente de la ASTM (American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Society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Materials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), en tanto se expiden las NOM´S o normas mexicanas correspondientes. La cita completa se encuentra en el numeral 8. Bibliografía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6. ESPECIFICACIONES ADICIONALES DE GASOLINAS POR REGION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378"/>
        <w:gridCol w:w="817"/>
        <w:gridCol w:w="681"/>
        <w:gridCol w:w="769"/>
        <w:gridCol w:w="1843"/>
      </w:tblGrid>
      <w:tr w:rsidR="00256449" w:rsidTr="00256449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90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 w:firstLine="12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ZMVM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Resto del País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  <w:vertAlign w:val="superscript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27"/>
        <w:gridCol w:w="916"/>
        <w:gridCol w:w="4235"/>
        <w:gridCol w:w="2173"/>
        <w:gridCol w:w="1008"/>
        <w:gridCol w:w="1009"/>
      </w:tblGrid>
      <w:tr w:rsidR="00256449" w:rsidTr="00256449">
        <w:trPr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Contenido máximo de: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Método de prueba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Premium y Magna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Premium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Magna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27"/>
        <w:gridCol w:w="961"/>
        <w:gridCol w:w="4190"/>
        <w:gridCol w:w="850"/>
        <w:gridCol w:w="817"/>
        <w:gridCol w:w="675"/>
        <w:gridCol w:w="1008"/>
        <w:gridCol w:w="1009"/>
      </w:tblGrid>
      <w:tr w:rsidR="00256449" w:rsidTr="00256449">
        <w:trPr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Aromáticos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0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Tipos de hidrocarburos en productos líquidos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petróleo por absorción de indicador fluorescente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1319-03)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Olefinas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Tipos de hidrocarburos en productos líquidos de petróleo por absorción de indicador fluorescente (ASTM D 1319-03)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Benceno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benceno y tolueno en gasolina terminada para uso en motores y aviación por cromatografía de gases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3606-04ª)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6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56449" w:rsidTr="00256449">
        <w:trPr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Oxígeno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(3)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peso,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Determinación de MTBE, ETBE TAME, DIPE y de,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Acohol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teramílico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(ASTM D 4815-00 (2005))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máximo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1.0    mínimo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tabs>
                <w:tab w:val="left" w:pos="6780"/>
                <w:tab w:val="left" w:pos="7205"/>
                <w:tab w:val="left" w:pos="7772"/>
              </w:tabs>
              <w:autoSpaceDE w:val="0"/>
              <w:autoSpaceDN w:val="0"/>
              <w:adjustRightInd w:val="0"/>
              <w:spacing w:after="0" w:line="240" w:lineRule="auto"/>
              <w:ind w:left="15" w:right="75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aplica</w:t>
            </w:r>
          </w:p>
        </w:tc>
      </w:tr>
      <w:tr w:rsidR="00256449" w:rsidTr="00256449">
        <w:trPr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BTX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benceno y tolueno en gasolina terminada para uso en motores y aviación por cromatografía de gases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0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3606-04ª)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OBSERVACIONES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ab/>
        <w:t>Para esta Tabla, se considera Resto del País toda la extensión del territorio nacional excluyendo las Zonas Metropolitanas del Valle de México, de Guadalajara y de Monterrey.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ab/>
        <w:t>Informar además el tipo de compuesto oxigenante empleado y la concentración de oxígeno en la gasolina, expresada en por ciento en peso.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FF"/>
          <w:sz w:val="18"/>
          <w:szCs w:val="18"/>
        </w:rPr>
        <w:t>Eliminado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TABLA 7. ESPECIFICACIONES DEL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DIESEL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4)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512"/>
        <w:gridCol w:w="2126"/>
        <w:gridCol w:w="992"/>
      </w:tblGrid>
      <w:tr w:rsidR="00256449" w:rsidTr="00256449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before="120"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DEL PRODUCTO: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567" w:right="851" w:hanging="28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PEMEX        DIESEL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DIESEL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125"/>
        <w:gridCol w:w="798"/>
        <w:gridCol w:w="4589"/>
        <w:gridCol w:w="2111"/>
        <w:gridCol w:w="1062"/>
      </w:tblGrid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Propiedad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Método de prueba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 específico a 20°C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Densidad, densidad relativa (gravedad específica o gravedad de petróleo crudo y productos líquidos de petróleo por el método hidrométrico). (ASTM D 1298-99e2)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4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Temperaturas de destilación: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inicial de ebullición: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 10 % destila a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 50 % destila a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 90 % destila a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final de ebullición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Destilación de productos de petróleo.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213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086-05)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inflamación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inflamabilidad: Prueba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Pensky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-Martens de copa cerrada (ASTM 093-02ª)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mínimo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mínimo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125"/>
        <w:gridCol w:w="803"/>
        <w:gridCol w:w="4584"/>
        <w:gridCol w:w="3185"/>
      </w:tblGrid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escurrimiento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Punto de fluidez de productos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20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097 -05a)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Marzo a octubre: 0°C máximo;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Noviembre a febrero: -5°C máximo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125"/>
        <w:gridCol w:w="803"/>
        <w:gridCol w:w="4584"/>
        <w:gridCol w:w="2123"/>
        <w:gridCol w:w="1062"/>
      </w:tblGrid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nublamiento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Punto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enturbamiento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combustibles de petróleo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20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2500-05)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cetano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cetano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diesel (ASTM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 xml:space="preserve"> D 613-05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(ASTM 0613-05) Cálculo del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cetano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>calculado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 combustibles destilados  (ASTM 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>D 976-04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(ASTM 0976-04be1)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mínimo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mínimo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cetano</w:t>
            </w:r>
            <w:proofErr w:type="spellEnd"/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>En ZFN</w:t>
            </w:r>
            <w:r>
              <w:rPr>
                <w:rFonts w:ascii="Arial" w:hAnsi="Arial" w:cs="Arial"/>
                <w:b/>
                <w:bCs/>
                <w:color w:val="FF00FF"/>
                <w:sz w:val="28"/>
                <w:szCs w:val="28"/>
                <w:vertAlign w:val="superscript"/>
              </w:rPr>
              <w:t>(5,6)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br/>
              <w:t>40 mínimo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</w:pP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Azufre total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azufre en productos de petróleo por espectroscopia de rayos X de fluorescencia por dispersión de energía.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9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4294-03)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9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Determinación de azufre total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en hidrocarburos ligeros. (ASTM D 5453-05)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Zona Fronteriza Norte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(5)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Enero 2007: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ZMVM, ZMG, ZMM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Enero 2009: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Resto del País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Septiembre 2009: 15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5000 máximo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Corrosión al Cu, 3 horas a 50°C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Detección de corrosión por cobre en productos de petróleo por la prueba de mancha de tira de cobre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9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0130-04)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 # 1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 # 2 máximo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Residuos de carbón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(en 10% del residuo)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peso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Residuos de carbón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Ramsbottom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productos de petróleo.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9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0524-04)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 máximo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 y sedimento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 y sedimento en combustibles de destilación media por centrifugado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9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2709-06 (2001)e1)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 máximo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Viscosidad cinemática a 40°C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Viscosidad cinemática de líquidos transparentes y opacos (cálculo de viscosidad dinámica)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9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0445-04e2)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 a 4.1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 a 4.1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Cenizas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peso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Cenizas en productos de petróleo (ASTM 0482-03)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 máximo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Color de productos de petróleo/ visual (ASTM D 1500-04ª)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Morado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Contenido de aromáticos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Tipos de hidrocarburos en productos líquidos de petróleo por absorción de indicador fluorescente. (ASTM D 1319-03)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máximo</w:t>
            </w:r>
          </w:p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>En ZFN</w:t>
            </w:r>
            <w:r>
              <w:rPr>
                <w:rFonts w:ascii="Arial" w:hAnsi="Arial" w:cs="Arial"/>
                <w:b/>
                <w:bCs/>
                <w:color w:val="FF00FF"/>
                <w:sz w:val="28"/>
                <w:szCs w:val="28"/>
                <w:vertAlign w:val="superscript"/>
              </w:rPr>
              <w:t>(5,6)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</w:rPr>
              <w:br/>
              <w:t>35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</w:tc>
      </w:tr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Lubricidad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micrones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20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HFRR Test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49" w:right="20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(ISO 12156)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125"/>
        <w:gridCol w:w="803"/>
        <w:gridCol w:w="4584"/>
        <w:gridCol w:w="3185"/>
      </w:tblGrid>
      <w:tr w:rsidR="00256449" w:rsidTr="00256449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HAPS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Producto para motores a diesel para servicio agrícola y marino. No debe utilizarse en motores a diesel para uso automotriz.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La temperatura máxima debe ser menor o igual que la temperatura ambiente mínima esperada.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(3) El valor de 520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máximo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es aplicable sólo para diesel de importación. Para el diesel de producción nacional la especificación de lubricidad entrará en vigor considerando el mismo calendario establecido para la especificación de azufre.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(4) Las especificaciones aplican a centros de producción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(5) Zona Fronteriza Norte </w:t>
      </w:r>
      <w:r>
        <w:rPr>
          <w:rFonts w:ascii="Arial" w:hAnsi="Arial" w:cs="Arial"/>
          <w:b/>
          <w:bCs/>
          <w:color w:val="FF00FF"/>
          <w:sz w:val="18"/>
          <w:szCs w:val="18"/>
        </w:rPr>
        <w:t>(ZFN)</w:t>
      </w:r>
      <w:r>
        <w:rPr>
          <w:rFonts w:ascii="Arial" w:hAnsi="Arial" w:cs="Arial"/>
          <w:color w:val="000000"/>
          <w:sz w:val="18"/>
          <w:szCs w:val="18"/>
        </w:rPr>
        <w:t xml:space="preserve">: Se refiere </w:t>
      </w:r>
      <w:r>
        <w:rPr>
          <w:rFonts w:ascii="Arial" w:hAnsi="Arial" w:cs="Arial"/>
          <w:b/>
          <w:bCs/>
          <w:color w:val="0000FF"/>
          <w:sz w:val="18"/>
          <w:szCs w:val="18"/>
        </w:rPr>
        <w:t>a las TAD definidas en la Tabla 3</w:t>
      </w:r>
      <w:r>
        <w:rPr>
          <w:rFonts w:ascii="Arial" w:hAnsi="Arial" w:cs="Arial"/>
          <w:color w:val="000000"/>
          <w:sz w:val="18"/>
          <w:szCs w:val="18"/>
        </w:rPr>
        <w:t>, Zona Noreste (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excepto </w:t>
      </w:r>
      <w:proofErr w:type="gramStart"/>
      <w:r>
        <w:rPr>
          <w:rFonts w:ascii="Arial" w:hAnsi="Arial" w:cs="Arial"/>
          <w:b/>
          <w:bCs/>
          <w:color w:val="0000FF"/>
          <w:sz w:val="18"/>
          <w:szCs w:val="18"/>
        </w:rPr>
        <w:t>Chihuahua ,</w:t>
      </w:r>
      <w:proofErr w:type="gramEnd"/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18"/>
          <w:szCs w:val="18"/>
        </w:rPr>
        <w:t>Durango,Gómez</w:t>
      </w:r>
      <w:proofErr w:type="spellEnd"/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Palacio, Matehuala, San Luis Potosí, Santa Catarina, </w:t>
      </w:r>
      <w:proofErr w:type="spellStart"/>
      <w:r>
        <w:rPr>
          <w:rFonts w:ascii="Arial" w:hAnsi="Arial" w:cs="Arial"/>
          <w:b/>
          <w:bCs/>
          <w:strike/>
          <w:color w:val="0000FF"/>
          <w:sz w:val="18"/>
          <w:szCs w:val="18"/>
        </w:rPr>
        <w:t>Sat</w:t>
      </w:r>
      <w:proofErr w:type="spellEnd"/>
      <w:r>
        <w:rPr>
          <w:rFonts w:ascii="Arial" w:hAnsi="Arial" w:cs="Arial"/>
          <w:b/>
          <w:bCs/>
          <w:strike/>
          <w:color w:val="0000FF"/>
          <w:sz w:val="18"/>
          <w:szCs w:val="18"/>
        </w:rPr>
        <w:t>.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Monterrey, Saltillo y Parral)</w:t>
      </w:r>
      <w:r>
        <w:rPr>
          <w:rFonts w:ascii="Arial" w:hAnsi="Arial" w:cs="Arial"/>
          <w:color w:val="000000"/>
          <w:sz w:val="18"/>
          <w:szCs w:val="18"/>
        </w:rPr>
        <w:t xml:space="preserve"> y  Zona Pacífico Z4 </w:t>
      </w:r>
      <w:r>
        <w:rPr>
          <w:rFonts w:ascii="Arial" w:hAnsi="Arial" w:cs="Arial"/>
          <w:b/>
          <w:bCs/>
          <w:color w:val="0000FF"/>
          <w:sz w:val="18"/>
          <w:szCs w:val="18"/>
        </w:rPr>
        <w:t>(excepto Cd. Obregón y Hermosillo)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  <w:r>
        <w:rPr>
          <w:rFonts w:ascii="Arial" w:hAnsi="Arial" w:cs="Arial"/>
          <w:b/>
          <w:bCs/>
          <w:color w:val="FF00FF"/>
          <w:sz w:val="18"/>
          <w:szCs w:val="18"/>
        </w:rPr>
        <w:t xml:space="preserve">(6) La especificación de Número o </w:t>
      </w:r>
      <w:proofErr w:type="spellStart"/>
      <w:r>
        <w:rPr>
          <w:rFonts w:ascii="Arial" w:hAnsi="Arial" w:cs="Arial"/>
          <w:b/>
          <w:bCs/>
          <w:color w:val="FF00FF"/>
          <w:sz w:val="18"/>
          <w:szCs w:val="18"/>
        </w:rPr>
        <w:t>Indice</w:t>
      </w:r>
      <w:proofErr w:type="spellEnd"/>
      <w:r>
        <w:rPr>
          <w:rFonts w:ascii="Arial" w:hAnsi="Arial" w:cs="Arial"/>
          <w:b/>
          <w:bCs/>
          <w:color w:val="FF00FF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b/>
          <w:bCs/>
          <w:color w:val="FF00FF"/>
          <w:sz w:val="18"/>
          <w:szCs w:val="18"/>
        </w:rPr>
        <w:t>Cetano</w:t>
      </w:r>
      <w:proofErr w:type="spellEnd"/>
      <w:r>
        <w:rPr>
          <w:rFonts w:ascii="Arial" w:hAnsi="Arial" w:cs="Arial"/>
          <w:b/>
          <w:bCs/>
          <w:color w:val="FF00FF"/>
          <w:sz w:val="18"/>
          <w:szCs w:val="18"/>
        </w:rPr>
        <w:t xml:space="preserve"> y la de Contenido de Aromáticos para la ZFN aplicará únicamente hasta septiembre del 2009.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FF00FF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8.- ESPECIFICACIONES DE LA TURBOSINA.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31"/>
        <w:gridCol w:w="952"/>
        <w:gridCol w:w="5488"/>
        <w:gridCol w:w="1619"/>
      </w:tblGrid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Propiedad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Método de prueba.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Especificación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 específico a 20°C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Gravedad específica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kg/l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°API</w:t>
            </w:r>
            <w:proofErr w:type="spell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Densidad, densidad relativa (gravedad específica) o gravedad de petróleo crudo y productos líquidos de petróleo por el método hidrométrico. (ASTM D 1298-99e2)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Gravedad API de petróleo crudo y productos de petróleo (Método por hidrómetro)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(ASTM D 4052-96(2002)e1)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287-92 (2000))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0.772 a 0.837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a 51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Apariencia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Visual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Brillante y clara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destilación del 10%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destilación del 50%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destilación del 90%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final de ebullición Residuo de la destilación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Pérdida de la destilación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vol.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vol.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Destilación de productos de petróleo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086-05)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inflamación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congelación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inflamabilidad: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Prueba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-Martens de copa cerrada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056-05)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Punto de congelación para combustibles de aviación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2386-05)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mínimo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–47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Valor calorífico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MJ/kg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Estimación del calor neto de combustión para combustibles para aviación. ASTM D 4809-95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Calor de combustión de combustibles fósiles líquidos por calorímetro de bomba (Método de precisión)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4809-95)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42.8 mínimo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(equivale a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18,400 BTU/lb)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Acidez total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Aromáticos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mg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KOH/g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vol.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Acidez en combustibles para turbinas de aviación. (ASTM D 3242-98)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Tipos de hidrocarburos en productos líquidos de petróleo por indicador fluorescente de absorción. (ASTM D 1319-03)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Azufre total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azufre en productos de petróleo por espectroscopia de fluorescencia de rayos X por dispersión de energía.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4294-03) (ASTM D 5453-05)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Azufre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mercaptánico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Azufre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mercaptánico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gasolina, queroseno, combustibles para turbinas de aviación y combustibles destilados (Método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potenciométrico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(ASTM D 3227-04ª)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Prueba Doctor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Análisis cualitativo para especies activas de azufre en combustibles y solventes (Prueba Doctor) (ASTM D 4952-02)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negativa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Viscosidad cinemática a -20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ºC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Viscosidad cinemática de líquidos transparentes y opacos (Cálculo de viscosidad dinámica)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0445-04e2)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Estabilidad térmica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1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Caída de presión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Depósitos en tubo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precalentador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(mm Hg)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Estabilidad de la oxidación térmica de combustibles para turbinas de aviación (Procedimiento JFTOT) (ASTM 0445-04e2)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9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Visual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 (25)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menor a código 3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Aditivos: Inhibidor antioxidante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(5)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Deactivador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metálico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mg/l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Punto de humo ó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Punto de humo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 Naftalenos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1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1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Partículas contaminantes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P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564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mm</w:t>
            </w:r>
          </w:p>
          <w:p w:rsidR="00256449" w:rsidRP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564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mm, </w:t>
            </w:r>
          </w:p>
          <w:p w:rsidR="00256449" w:rsidRP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564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vol</w:t>
            </w:r>
            <w:proofErr w:type="spellEnd"/>
          </w:p>
          <w:p w:rsidR="00256449" w:rsidRP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256449" w:rsidRP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256449" w:rsidRP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564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punto de humo de combustibles para turbinas para aviación o Determinación de naftalenos en combustibles para turbinas de aviación por espectrofotometría ultravioleta.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1322-97(2002)) (ASTM D 1840-03)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Partículas contaminantes en combustibles de aviación por muestreo por líneas.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2276-00)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mínimo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mínimo y 3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Corrosión al Cu, 2 horas a 100°C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Detección de corrosión al cobre de productos de petróleo por prueba de mancha en tira de cobre.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0130-04)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Estándar 1,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Goma preformada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Reacción al agua: Separación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Interfase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mg/l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Gomas existentes en combustibles por evaporación por chorro. (ASTM 0381-04)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Reacción al agua en combustibles para aviación.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9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1094-00)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1-b máximo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modificado de separación de agua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características de separación de agua de combustibles para turbinas de aviación por separador portátil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(8)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3948-04)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mínimo</w:t>
            </w:r>
          </w:p>
        </w:tc>
      </w:tr>
      <w:tr w:rsidR="00256449" w:rsidTr="0025644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HAPS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3" w:right="2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12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OBSERVACIONES: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ab/>
        <w:t>La temperatura de inflamación será 42°C mínimo, para clientes de exportación que así lo soliciten.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ab/>
        <w:t>El valor calorífico se calcula en MJ/kg usando las tablas y las ecuaciones descritas en el Método de Prueba Estimación del calor neto de combustión para combustibles para aviación.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Si hay discrepancia entre el resultado de la prueba Doctor y el de la de azufre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mercaptánico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prevalecerá el de ésta.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(4)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La prueba de estabilidad térmica (ASTM D 3241-98) debe efectuarse a 260°C, pero puede llevarse a cabo a 245°C en ambos casos la prueba se efectúa durante 2.5 horas. Es conveniente pero no obligatoria, la determinación del depósito en el tubo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precalentador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por el método de densidad óptica.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(5)</w:t>
      </w:r>
      <w:r>
        <w:rPr>
          <w:rFonts w:ascii="Arial" w:hAnsi="Arial" w:cs="Arial"/>
          <w:color w:val="000000"/>
          <w:sz w:val="18"/>
          <w:szCs w:val="18"/>
        </w:rPr>
        <w:tab/>
        <w:t>Solamente se podrá usar los siguientes antioxidantes: a) N,N-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diisopropil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parafenilen-diamina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b) 75% mínimo 2-6-diterbutil-fenol más 25% máximo de ter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triterbutil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-fenol; c) 72% mínimo 2-4-dimetil-6-terbutil-fenol más 28% máximo de mono-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metil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dimetil-terbutilfenol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d) 55% mínimo 2-4-dimetil-6-terbutil-fenol más 45% máximo de ter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diterbutuilfenol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(6)</w:t>
      </w:r>
      <w:r>
        <w:rPr>
          <w:rFonts w:ascii="Arial" w:hAnsi="Arial" w:cs="Arial"/>
          <w:color w:val="000000"/>
          <w:sz w:val="18"/>
          <w:szCs w:val="18"/>
        </w:rPr>
        <w:tab/>
        <w:t>Solamente se podrá usar el compuesto N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salicilideno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1,2-propanodiamina.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(7)</w:t>
      </w:r>
      <w:r>
        <w:rPr>
          <w:rFonts w:ascii="Arial" w:hAnsi="Arial" w:cs="Arial"/>
          <w:color w:val="000000"/>
          <w:sz w:val="18"/>
          <w:szCs w:val="18"/>
        </w:rPr>
        <w:tab/>
        <w:t>Si el punto de humo tiene un valor entre 20 y 18 mm y el contenido de naftalenos es menor de 3%, se puede comercializar el producto notificando al comprador dentro de los 90 días de la fecha de envío, a no ser que se acuerden otras condiciones.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(8)</w:t>
      </w:r>
      <w:r>
        <w:rPr>
          <w:rFonts w:ascii="Arial" w:hAnsi="Arial" w:cs="Arial"/>
          <w:color w:val="000000"/>
          <w:sz w:val="18"/>
          <w:szCs w:val="18"/>
        </w:rPr>
        <w:tab/>
        <w:t>Este método se utilizará sólo en caso de discrepancia de resultados y predominará sobre el método de prueba Reacción al agua en combustibles para aviación. (ASTM D 1094-00)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TABLA 9.- ESPECIFICACIONES DE COMBUSTIBLES INDUSTRIALES LIQUIDOS </w:t>
      </w:r>
      <w:r>
        <w:rPr>
          <w:rFonts w:ascii="Arial" w:hAnsi="Arial" w:cs="Arial"/>
          <w:color w:val="000000"/>
          <w:sz w:val="18"/>
          <w:szCs w:val="18"/>
        </w:rPr>
        <w:t>(1)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945"/>
        <w:gridCol w:w="1276"/>
        <w:gridCol w:w="1276"/>
        <w:gridCol w:w="991"/>
      </w:tblGrid>
      <w:tr w:rsidR="00256449" w:rsidTr="00256449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COMBUSTIBLE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DIESEL INDUS-TRIAL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GASOLEO DOMES-TICO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COM-BUS-TOLEO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123"/>
        <w:gridCol w:w="889"/>
        <w:gridCol w:w="4357"/>
        <w:gridCol w:w="1062"/>
        <w:gridCol w:w="1062"/>
        <w:gridCol w:w="925"/>
      </w:tblGrid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Propiedad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Método de prueba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2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 específico 20°C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Densidad, densidad relativa (gravedad específica) o gravedad de petróleo crudo y productos líquidos de petróleo por Método de hidrómetro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1298-99e2)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inflamación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Temperatura de inflamabilidad: Prueba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Pensky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-Martens, de copa cerrada. (ASTM 093-02ª)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 mínimo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mínimo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mín</w:t>
            </w:r>
            <w:proofErr w:type="spellEnd"/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de escurrimiento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Punto de fluidez de productos.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097 -05a)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máx</w:t>
            </w:r>
            <w:proofErr w:type="spellEnd"/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Destilación (90% destila a)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Destilación de productos de petróleo. (ASTM 086-05)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máx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Viscosidad cinemática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Viscosidad cinemática de líquidos transparentes y opacos (Cálculo de viscosidad dinámica). (ASTM 0445-04e2)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 a 5.8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40°C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 a 1166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50°C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Azufre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peso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Azufre en productos de petróleo por espectroscopia de fluorescencia de rayos X por dispersión de energía.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4294-03)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azufre total en hidrocarburos ligeros.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5453-05)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(5000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máx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0.05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máximo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(500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máx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(500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máx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máximo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Nitrógeno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ppm peso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Nitrógeno total en aceites lubricantes y en combustibles líquidos (ASTM D 3228-03)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Vanadio, níquel, hierro, cromo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ppm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Determinación de níquel, vanadio, hierro y sodio en petróleos crudos y combustibles residuales por espectrometría de absorción atómica con detector de flama.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5863-00a (2005))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Poder Calorífico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MJ/kg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Estimación de calor neto y bruto de combustión de combustibles diesel y para quemadores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mínimo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Asfaltenos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(Insolubles en nC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peso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Determinación de insolubles en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n-heptano.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3279-97)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Color de productos de petróleo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1500-04a).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256449" w:rsidTr="00256449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 y Sedimento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volumen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 y sedimentos en combustibles de destilación media por centrifugado.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05" w:right="19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2709-06 (2001)e1)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 máximo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máximo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OBSERVACIONES: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ab/>
        <w:t>Estos combustibles se usarán únicamente en procesos de combustión a fuego directo y no se deberán usar en motores a diesel para servicio automotriz, agrícola ni en embarcaciones.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ab/>
        <w:t>Límite aplicable al diesel industrial para la ZMVM.</w:t>
      </w:r>
    </w:p>
    <w:p w:rsidR="00256449" w:rsidRDefault="00256449" w:rsidP="00256449">
      <w:pPr>
        <w:autoSpaceDE w:val="0"/>
        <w:autoSpaceDN w:val="0"/>
        <w:adjustRightInd w:val="0"/>
        <w:spacing w:after="12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ab/>
        <w:t>Igual o menor al estándar preparado correspondiente a 10 mg de anilina morada en un litro del producto base.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10.- ESPECIFICACIONES DEL GAS LICUADO DE PETROLEO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(GAS LP)</w:t>
      </w:r>
      <w:r>
        <w:rPr>
          <w:rFonts w:ascii="Arial" w:hAnsi="Arial" w:cs="Arial"/>
          <w:b/>
          <w:bCs/>
          <w:color w:val="000000"/>
          <w:sz w:val="18"/>
          <w:szCs w:val="18"/>
        </w:rPr>
        <w:t>}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255"/>
        <w:gridCol w:w="1088"/>
        <w:gridCol w:w="4310"/>
        <w:gridCol w:w="1438"/>
        <w:gridCol w:w="1402"/>
      </w:tblGrid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Propiedad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6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Método de Prueba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81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Resto del País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ZMVM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vapor en exceso a la atmosférica a 37.8°C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proofErr w:type="spellEnd"/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(lb/pulg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Presión de vapor de gases licuados de petróleo (Método gas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-LP)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Procedimiento para el cálculo de ciertas propiedades físicas de gases licuados de petróleo por análisis de composición.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1267-02)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 (100)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mínimo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1379 (200) máximo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 (130) mínimo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1379 (200) máximo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máxima de destilación del 95%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Volatilidad de gases licuados de petróleo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(ASTM D 1837-02ª)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Composición: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Etano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Propano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n-butano +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-butano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Pentano y más pesados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Olefinas totales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Análisis de gases licuados de petróleo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y concentrados de propano por cromatografía de gases.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2163-91(96))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mínimo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máximo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máximo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Residuo de la evaporación de 100 ml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Residuos en gases licuados de petróleo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2158-04)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 máximo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 máximo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Peso específico a 15.6°C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kg/dm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Densidad o densidad relativa de hidrocarburos ligeros por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termohidrómetro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presión. (ASTM D 1657-02)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2598-02)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0.504 a 0.54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Corrosión de placa de cobre, 1 hora a 37.8°C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Corrosión de cobre por gases licuados de petróleo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1838-05)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 no. 1 máximo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 no. 1 máximo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Azufre total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ppm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(en peso)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Azufre total en combustibles gaseosos por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hidrogenólisis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 colorimetría con medidor de relaciones (logómetro)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4468-85 (2000)).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máximo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máximo</w:t>
            </w:r>
          </w:p>
        </w:tc>
      </w:tr>
      <w:tr w:rsidR="00256449" w:rsidTr="00256449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42" w:right="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 libre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4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Visual y Método estándar para la sequedad del propano (Método de válvula congelada) </w:t>
            </w:r>
          </w:p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201" w:right="19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(ASTM D 2713-91)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9" w:rsidRDefault="00256449">
            <w:pPr>
              <w:autoSpaceDE w:val="0"/>
              <w:autoSpaceDN w:val="0"/>
              <w:adjustRightInd w:val="0"/>
              <w:spacing w:after="0" w:line="240" w:lineRule="auto"/>
              <w:ind w:left="15" w:right="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Nada</w:t>
            </w:r>
          </w:p>
        </w:tc>
      </w:tr>
    </w:tbl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OBSERVACIONES: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Para esta tabla únicamente, se considera Resto del País toda la extensión territorial nacional excluyendo la ZMVM.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260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La verificación de las especificaciones de gas L.P. deberá realizarse en los centros de distribución, donde se realiza el ajuste de calidad.</w:t>
      </w:r>
    </w:p>
    <w:p w:rsidR="00256449" w:rsidRDefault="00256449" w:rsidP="00256449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(3) El gas licuado que se distribuye al consumidor deberá ser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odorizado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por razones de seguridad.</w:t>
      </w:r>
    </w:p>
    <w:p w:rsidR="00B90364" w:rsidRDefault="00B90364"/>
    <w:sectPr w:rsidR="00B90364" w:rsidSect="00DF6AF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49"/>
    <w:rsid w:val="001D6DD1"/>
    <w:rsid w:val="00256449"/>
    <w:rsid w:val="005569AA"/>
    <w:rsid w:val="00843738"/>
    <w:rsid w:val="00AB2ACD"/>
    <w:rsid w:val="00B90364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3BF7-C755-4036-A83F-B0C82CB2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3515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2015-07-23T15:19:00Z</dcterms:created>
  <dcterms:modified xsi:type="dcterms:W3CDTF">2015-07-23T15:23:00Z</dcterms:modified>
</cp:coreProperties>
</file>